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959BE" w14:textId="77777777" w:rsidR="00F640AF" w:rsidRDefault="000000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Year 5/6 Long Term Overview</w:t>
      </w:r>
    </w:p>
    <w:p w14:paraId="7CB4C348" w14:textId="77777777" w:rsidR="00F640AF" w:rsidRDefault="00000000">
      <w:pPr>
        <w:jc w:val="center"/>
        <w:rPr>
          <w:sz w:val="30"/>
          <w:szCs w:val="30"/>
        </w:rPr>
      </w:pPr>
      <w:r>
        <w:rPr>
          <w:b/>
          <w:color w:val="0070C0"/>
          <w:sz w:val="30"/>
          <w:szCs w:val="30"/>
        </w:rPr>
        <w:t>Persuade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b/>
          <w:color w:val="00B050"/>
          <w:sz w:val="30"/>
          <w:szCs w:val="30"/>
        </w:rPr>
        <w:t>Inform</w:t>
      </w:r>
      <w:r>
        <w:rPr>
          <w:b/>
          <w:color w:val="00B050"/>
          <w:sz w:val="30"/>
          <w:szCs w:val="30"/>
        </w:rPr>
        <w:tab/>
      </w:r>
      <w:r>
        <w:rPr>
          <w:b/>
          <w:color w:val="00B050"/>
          <w:sz w:val="30"/>
          <w:szCs w:val="30"/>
        </w:rPr>
        <w:tab/>
      </w:r>
      <w:r>
        <w:rPr>
          <w:b/>
          <w:color w:val="FF0000"/>
          <w:sz w:val="30"/>
          <w:szCs w:val="30"/>
        </w:rPr>
        <w:t>Entertain</w:t>
      </w:r>
      <w:r>
        <w:rPr>
          <w:b/>
          <w:color w:val="FF0000"/>
          <w:sz w:val="30"/>
          <w:szCs w:val="30"/>
        </w:rPr>
        <w:tab/>
      </w:r>
      <w:r>
        <w:rPr>
          <w:b/>
          <w:color w:val="FF0000"/>
          <w:sz w:val="30"/>
          <w:szCs w:val="30"/>
        </w:rPr>
        <w:tab/>
      </w:r>
      <w:r>
        <w:rPr>
          <w:b/>
          <w:color w:val="7030A0"/>
          <w:sz w:val="30"/>
          <w:szCs w:val="30"/>
        </w:rPr>
        <w:t>Discuss</w:t>
      </w:r>
    </w:p>
    <w:tbl>
      <w:tblPr>
        <w:tblStyle w:val="a"/>
        <w:tblW w:w="15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8"/>
        <w:gridCol w:w="2629"/>
        <w:gridCol w:w="2629"/>
        <w:gridCol w:w="2629"/>
        <w:gridCol w:w="2629"/>
        <w:gridCol w:w="2629"/>
      </w:tblGrid>
      <w:tr w:rsidR="00F640AF" w14:paraId="78785F63" w14:textId="77777777">
        <w:trPr>
          <w:trHeight w:val="276"/>
        </w:trPr>
        <w:tc>
          <w:tcPr>
            <w:tcW w:w="2628" w:type="dxa"/>
            <w:shd w:val="clear" w:color="auto" w:fill="CCC1D9"/>
          </w:tcPr>
          <w:p w14:paraId="3DB4ABA0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Autumn 1</w:t>
            </w:r>
          </w:p>
        </w:tc>
        <w:tc>
          <w:tcPr>
            <w:tcW w:w="2629" w:type="dxa"/>
            <w:shd w:val="clear" w:color="auto" w:fill="CCC1D9"/>
          </w:tcPr>
          <w:p w14:paraId="5728E660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Autumn 2</w:t>
            </w:r>
          </w:p>
        </w:tc>
        <w:tc>
          <w:tcPr>
            <w:tcW w:w="2629" w:type="dxa"/>
            <w:shd w:val="clear" w:color="auto" w:fill="CCC1D9"/>
          </w:tcPr>
          <w:p w14:paraId="571AD521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Spring 1</w:t>
            </w:r>
          </w:p>
        </w:tc>
        <w:tc>
          <w:tcPr>
            <w:tcW w:w="2629" w:type="dxa"/>
            <w:shd w:val="clear" w:color="auto" w:fill="CCC1D9"/>
          </w:tcPr>
          <w:p w14:paraId="3B6F2E2D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Spring 2</w:t>
            </w:r>
          </w:p>
        </w:tc>
        <w:tc>
          <w:tcPr>
            <w:tcW w:w="2629" w:type="dxa"/>
            <w:shd w:val="clear" w:color="auto" w:fill="CCC1D9"/>
          </w:tcPr>
          <w:p w14:paraId="334B505C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Summer 1</w:t>
            </w:r>
          </w:p>
        </w:tc>
        <w:tc>
          <w:tcPr>
            <w:tcW w:w="2629" w:type="dxa"/>
            <w:shd w:val="clear" w:color="auto" w:fill="CCC1D9"/>
          </w:tcPr>
          <w:p w14:paraId="6B56B55B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Summer 2</w:t>
            </w:r>
          </w:p>
        </w:tc>
      </w:tr>
      <w:tr w:rsidR="00F640AF" w14:paraId="756E8F85" w14:textId="77777777">
        <w:trPr>
          <w:trHeight w:val="276"/>
        </w:trPr>
        <w:tc>
          <w:tcPr>
            <w:tcW w:w="2628" w:type="dxa"/>
            <w:shd w:val="clear" w:color="auto" w:fill="B7DDE8"/>
          </w:tcPr>
          <w:p w14:paraId="3CF05891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Journey </w:t>
            </w:r>
          </w:p>
        </w:tc>
        <w:tc>
          <w:tcPr>
            <w:tcW w:w="2629" w:type="dxa"/>
            <w:shd w:val="clear" w:color="auto" w:fill="B7DDE8"/>
          </w:tcPr>
          <w:p w14:paraId="6B829966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Journey </w:t>
            </w:r>
          </w:p>
        </w:tc>
        <w:tc>
          <w:tcPr>
            <w:tcW w:w="2629" w:type="dxa"/>
            <w:shd w:val="clear" w:color="auto" w:fill="B7DDE8"/>
          </w:tcPr>
          <w:p w14:paraId="0C43DF62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Journey </w:t>
            </w:r>
          </w:p>
        </w:tc>
        <w:tc>
          <w:tcPr>
            <w:tcW w:w="2629" w:type="dxa"/>
            <w:shd w:val="clear" w:color="auto" w:fill="B7DDE8"/>
          </w:tcPr>
          <w:p w14:paraId="22DD79DC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Journey </w:t>
            </w:r>
          </w:p>
        </w:tc>
        <w:tc>
          <w:tcPr>
            <w:tcW w:w="2629" w:type="dxa"/>
            <w:shd w:val="clear" w:color="auto" w:fill="B7DDE8"/>
          </w:tcPr>
          <w:p w14:paraId="2598BCCC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Journey </w:t>
            </w:r>
          </w:p>
        </w:tc>
        <w:tc>
          <w:tcPr>
            <w:tcW w:w="2629" w:type="dxa"/>
            <w:shd w:val="clear" w:color="auto" w:fill="B7DDE8"/>
          </w:tcPr>
          <w:p w14:paraId="6F8FA9B6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Journey </w:t>
            </w:r>
          </w:p>
        </w:tc>
      </w:tr>
      <w:tr w:rsidR="00F640AF" w14:paraId="60A135FD" w14:textId="77777777">
        <w:trPr>
          <w:trHeight w:val="1504"/>
        </w:trPr>
        <w:tc>
          <w:tcPr>
            <w:tcW w:w="2628" w:type="dxa"/>
          </w:tcPr>
          <w:p w14:paraId="2D84CA71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The Lost Words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C924215" wp14:editId="51FDF75F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302895</wp:posOffset>
                  </wp:positionV>
                  <wp:extent cx="1243330" cy="1678940"/>
                  <wp:effectExtent l="0" t="0" r="0" b="0"/>
                  <wp:wrapSquare wrapText="bothSides" distT="0" distB="0" distL="114300" distR="114300"/>
                  <wp:docPr id="982918724" name="image7.jpg" descr="The Lost Words: Rediscover our natural world with this spellbinding book :  Macfarlane, Robert, Morris, Jackie: Amazon.co.uk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The Lost Words: Rediscover our natural world with this spellbinding book :  Macfarlane, Robert, Morris, Jackie: Amazon.co.uk: Books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678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A5724E5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5C2F48D8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Purpose: To entertain</w:t>
            </w:r>
          </w:p>
          <w:p w14:paraId="1D0A76A4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Audience: Reader of ‘The Lost Words’</w:t>
            </w:r>
          </w:p>
          <w:p w14:paraId="357621D5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Form: Poetry </w:t>
            </w:r>
          </w:p>
          <w:p w14:paraId="0FFCC152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6E913191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9" w:type="dxa"/>
          </w:tcPr>
          <w:p w14:paraId="53276C27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Beowulf</w:t>
            </w:r>
          </w:p>
          <w:p w14:paraId="2A6D0456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707C5E4" wp14:editId="203F6F28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159385</wp:posOffset>
                  </wp:positionV>
                  <wp:extent cx="1092200" cy="1667510"/>
                  <wp:effectExtent l="0" t="0" r="0" b="0"/>
                  <wp:wrapSquare wrapText="bothSides" distT="0" distB="0" distL="114300" distR="114300"/>
                  <wp:docPr id="982918723" name="image10.jpg" descr="Beowulf: Amazon.co.uk: Morpurgo, Sir Michael, Foreman, Michael:  9781406348873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Beowulf: Amazon.co.uk: Morpurgo, Sir Michael, Foreman, Michael:  9781406348873: Books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667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34C2DDC" w14:textId="77777777" w:rsidR="00F640AF" w:rsidRDefault="00F640AF"/>
          <w:p w14:paraId="0C8829DD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Purpose: To entertain</w:t>
            </w:r>
          </w:p>
          <w:p w14:paraId="5EBACE10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Audience: Year 5/6 </w:t>
            </w:r>
          </w:p>
          <w:p w14:paraId="3F80204B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Form: Heroic legend narrative</w:t>
            </w:r>
          </w:p>
          <w:p w14:paraId="3163A6FA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57099478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How The Grinch Stole Christmas </w:t>
            </w:r>
          </w:p>
          <w:p w14:paraId="25919CA8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5E33A36F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981544" wp14:editId="3174B356">
                  <wp:extent cx="888387" cy="1224891"/>
                  <wp:effectExtent l="0" t="0" r="0" b="0"/>
                  <wp:docPr id="982918727" name="image12.jpg" descr="How the Grinch Stole Christmas!: The brilliant and beloved children’s  picture book story – book 2 How the Grinch Lost Christmas! out now! (Dr.  Seuss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 descr="How the Grinch Stole Christmas!: The brilliant and beloved children’s  picture book story – book 2 How the Grinch Lost Christmas! out now! (Dr.  Seuss)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387" cy="12248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E11C152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0A326B7E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Purpose: </w:t>
            </w:r>
            <w:r w:rsidRPr="00EC447D">
              <w:rPr>
                <w:bCs/>
                <w:sz w:val="20"/>
                <w:szCs w:val="20"/>
              </w:rPr>
              <w:t>To inform</w:t>
            </w:r>
          </w:p>
          <w:p w14:paraId="4B526843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Audience: </w:t>
            </w:r>
            <w:r w:rsidRPr="00EC447D">
              <w:rPr>
                <w:bCs/>
                <w:sz w:val="20"/>
                <w:szCs w:val="20"/>
              </w:rPr>
              <w:t>someone who doesn’t like Christmas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14:paraId="6922E49E" w14:textId="3628B2AB" w:rsidR="00F640AF" w:rsidRPr="00EC447D" w:rsidRDefault="00000000" w:rsidP="00EC44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Form: </w:t>
            </w:r>
            <w:r w:rsidRPr="00EC447D">
              <w:rPr>
                <w:bCs/>
                <w:sz w:val="20"/>
                <w:szCs w:val="20"/>
              </w:rPr>
              <w:t>instructions to steal Christmas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29" w:type="dxa"/>
          </w:tcPr>
          <w:p w14:paraId="7AA96067" w14:textId="77777777" w:rsidR="00F640AF" w:rsidRDefault="0000000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Rain Player</w:t>
            </w:r>
          </w:p>
          <w:p w14:paraId="4EE45BE8" w14:textId="77777777" w:rsidR="00F640AF" w:rsidRDefault="00F640AF">
            <w:pPr>
              <w:jc w:val="center"/>
              <w:rPr>
                <w:i/>
                <w:sz w:val="20"/>
                <w:szCs w:val="20"/>
              </w:rPr>
            </w:pPr>
          </w:p>
          <w:p w14:paraId="29A6C34D" w14:textId="77777777" w:rsidR="00F640AF" w:rsidRDefault="00000000">
            <w:r>
              <w:rPr>
                <w:noProof/>
              </w:rPr>
              <w:drawing>
                <wp:inline distT="0" distB="0" distL="0" distR="0" wp14:anchorId="6510B7B7" wp14:editId="4D64E0A4">
                  <wp:extent cx="1532255" cy="1162050"/>
                  <wp:effectExtent l="0" t="0" r="0" b="0"/>
                  <wp:docPr id="982918731" name="image1.jpg" descr="Rain Player : Wisniewski, David, Wisniewski, David: Amazon.co.uk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Rain Player : Wisniewski, David, Wisniewski, David: Amazon.co.uk: Books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255" cy="1162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D9F29A6" w14:textId="77777777" w:rsidR="00F640AF" w:rsidRDefault="00F640AF">
            <w:pPr>
              <w:jc w:val="center"/>
              <w:rPr>
                <w:i/>
                <w:sz w:val="20"/>
                <w:szCs w:val="20"/>
              </w:rPr>
            </w:pPr>
          </w:p>
          <w:p w14:paraId="5E0DCCD9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Purpose:  To inform</w:t>
            </w:r>
          </w:p>
          <w:p w14:paraId="5278914C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Audience: Reader interested in finding out more about The Maya</w:t>
            </w:r>
          </w:p>
          <w:p w14:paraId="766B0319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Form: Analytical essay</w:t>
            </w:r>
          </w:p>
          <w:p w14:paraId="0262C4E8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22289E46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0B4C9A6F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14CD44E1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21D83A31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7F3D2417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Learning Journey 2:</w:t>
            </w:r>
          </w:p>
          <w:p w14:paraId="679E92B2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496E98BF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Autobiography </w:t>
            </w:r>
          </w:p>
          <w:p w14:paraId="32E6A84F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  <w:p w14:paraId="55D3BF22" w14:textId="77777777" w:rsidR="00F640AF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Children will look at some autobiographical writing before writing a story of their own life. </w:t>
            </w:r>
          </w:p>
        </w:tc>
        <w:tc>
          <w:tcPr>
            <w:tcW w:w="2629" w:type="dxa"/>
          </w:tcPr>
          <w:p w14:paraId="37584C6D" w14:textId="77777777" w:rsidR="00F640AF" w:rsidRDefault="00F640AF">
            <w:pPr>
              <w:jc w:val="center"/>
              <w:rPr>
                <w:b/>
                <w:color w:val="FFC000"/>
                <w:sz w:val="16"/>
                <w:szCs w:val="16"/>
              </w:rPr>
            </w:pPr>
          </w:p>
          <w:p w14:paraId="5178B99A" w14:textId="77777777" w:rsidR="00F640AF" w:rsidRDefault="00F640AF">
            <w:pPr>
              <w:jc w:val="center"/>
              <w:rPr>
                <w:b/>
                <w:color w:val="FFC000"/>
                <w:sz w:val="16"/>
                <w:szCs w:val="16"/>
              </w:rPr>
            </w:pPr>
          </w:p>
          <w:p w14:paraId="1F753824" w14:textId="77777777" w:rsidR="00F640AF" w:rsidRDefault="00F640AF">
            <w:pPr>
              <w:jc w:val="center"/>
              <w:rPr>
                <w:b/>
                <w:color w:val="FFC000"/>
                <w:sz w:val="16"/>
                <w:szCs w:val="16"/>
              </w:rPr>
            </w:pPr>
          </w:p>
          <w:p w14:paraId="6EF785D5" w14:textId="77777777" w:rsidR="00F640AF" w:rsidRDefault="00F640AF">
            <w:pPr>
              <w:jc w:val="center"/>
              <w:rPr>
                <w:b/>
                <w:color w:val="FFC000"/>
                <w:sz w:val="16"/>
                <w:szCs w:val="16"/>
              </w:rPr>
            </w:pPr>
          </w:p>
          <w:p w14:paraId="28D62488" w14:textId="77777777" w:rsidR="00F640AF" w:rsidRDefault="00000000">
            <w:pPr>
              <w:jc w:val="center"/>
            </w:pPr>
            <w:r>
              <w:t xml:space="preserve">Titanic </w:t>
            </w:r>
          </w:p>
          <w:p w14:paraId="3A443B77" w14:textId="77777777" w:rsidR="00F640AF" w:rsidRDefault="00F640AF">
            <w:pPr>
              <w:jc w:val="center"/>
            </w:pPr>
          </w:p>
          <w:p w14:paraId="66AA17B3" w14:textId="77777777" w:rsidR="00F640A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0AC267" wp14:editId="61D0C68D">
                  <wp:extent cx="1532255" cy="1330325"/>
                  <wp:effectExtent l="0" t="0" r="0" b="0"/>
                  <wp:docPr id="982918728" name="image6.jpg" descr="The Story of the Titanic for Children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The Story of the Titanic for Children ...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255" cy="1330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65C1535" w14:textId="77777777" w:rsidR="00F640AF" w:rsidRDefault="00F640AF">
            <w:pPr>
              <w:jc w:val="center"/>
            </w:pPr>
          </w:p>
          <w:p w14:paraId="35A64A4D" w14:textId="77777777" w:rsidR="00F640AF" w:rsidRDefault="00F640AF">
            <w:pPr>
              <w:jc w:val="center"/>
              <w:rPr>
                <w:b/>
                <w:color w:val="FFC000"/>
                <w:sz w:val="16"/>
                <w:szCs w:val="16"/>
              </w:rPr>
            </w:pPr>
          </w:p>
          <w:p w14:paraId="477D40B7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Many outcomes to prepare for KS2 judgements and moderation </w:t>
            </w:r>
          </w:p>
          <w:p w14:paraId="2B289708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 xml:space="preserve"> </w:t>
            </w:r>
          </w:p>
        </w:tc>
        <w:tc>
          <w:tcPr>
            <w:tcW w:w="2629" w:type="dxa"/>
          </w:tcPr>
          <w:p w14:paraId="4F36CC9F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Windrush Child</w:t>
            </w:r>
          </w:p>
          <w:p w14:paraId="0454CAE1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215E06F6" wp14:editId="2F3DC8E2">
                  <wp:simplePos x="0" y="0"/>
                  <wp:positionH relativeFrom="column">
                    <wp:posOffset>300354</wp:posOffset>
                  </wp:positionH>
                  <wp:positionV relativeFrom="paragraph">
                    <wp:posOffset>159385</wp:posOffset>
                  </wp:positionV>
                  <wp:extent cx="1040765" cy="1598930"/>
                  <wp:effectExtent l="0" t="0" r="0" b="0"/>
                  <wp:wrapSquare wrapText="bothSides" distT="0" distB="0" distL="114300" distR="114300"/>
                  <wp:docPr id="982918733" name="image13.jpg" descr="Windrush Child by Benjamin Zephaniah | Waterston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Windrush Child by Benjamin Zephaniah | Waterstones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15989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3F7C86B" w14:textId="77777777" w:rsidR="00F640AF" w:rsidRDefault="00F640AF"/>
          <w:p w14:paraId="13D090EF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Purpose:  To persuade</w:t>
            </w:r>
          </w:p>
          <w:p w14:paraId="4354CF0E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Audience: Local council</w:t>
            </w:r>
          </w:p>
          <w:p w14:paraId="279828B3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Form: Written pitch </w:t>
            </w:r>
          </w:p>
          <w:p w14:paraId="135E21FD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9" w:type="dxa"/>
          </w:tcPr>
          <w:p w14:paraId="1D4A9AEA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Anne Frank</w:t>
            </w:r>
          </w:p>
          <w:p w14:paraId="5225B8BB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0C2CC0D8" w14:textId="77777777" w:rsidR="00F640AF" w:rsidRDefault="00000000">
            <w:r>
              <w:rPr>
                <w:noProof/>
              </w:rPr>
              <w:drawing>
                <wp:inline distT="0" distB="0" distL="0" distR="0" wp14:anchorId="705064CF" wp14:editId="573849D1">
                  <wp:extent cx="1532255" cy="1414780"/>
                  <wp:effectExtent l="0" t="0" r="0" b="0"/>
                  <wp:docPr id="982918732" name="image4.jpg" descr="Anne Frank: Amazon.co.uk: Poole, Josephine, Barrett, Angela: 9780099409762: 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Anne Frank: Amazon.co.uk: Poole, Josephine, Barrett, Angela: 9780099409762:  Books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255" cy="14147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BEEC8F4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02A0121C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Purpose: To discuss</w:t>
            </w:r>
          </w:p>
          <w:p w14:paraId="51E36B00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Audience: Readers interested in Anne Frank’s diary</w:t>
            </w:r>
          </w:p>
          <w:p w14:paraId="1C8CCD00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Form: Opinion piece</w:t>
            </w:r>
          </w:p>
        </w:tc>
      </w:tr>
      <w:tr w:rsidR="00F640AF" w14:paraId="2990D62C" w14:textId="77777777">
        <w:trPr>
          <w:trHeight w:val="82"/>
        </w:trPr>
        <w:tc>
          <w:tcPr>
            <w:tcW w:w="2628" w:type="dxa"/>
          </w:tcPr>
          <w:p w14:paraId="23A12592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782B12C6" w14:textId="77777777" w:rsidR="00F640AF" w:rsidRDefault="00000000">
            <w:pPr>
              <w:rPr>
                <w:i/>
                <w:sz w:val="20"/>
                <w:szCs w:val="20"/>
              </w:rPr>
            </w:pPr>
            <w:r>
              <w:t xml:space="preserve">Preparing poems and plays to read aloud and to perform, showing understanding through intonation, tone and volume </w:t>
            </w:r>
          </w:p>
          <w:p w14:paraId="277C33BC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62D98C3C" w14:textId="77777777" w:rsidR="00F640AF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Writing (Composition)</w:t>
            </w:r>
            <w:r>
              <w:rPr>
                <w:sz w:val="21"/>
                <w:szCs w:val="21"/>
              </w:rPr>
              <w:t xml:space="preserve"> </w:t>
            </w:r>
          </w:p>
          <w:p w14:paraId="4EE5CAF0" w14:textId="77777777" w:rsidR="00F640AF" w:rsidRDefault="00F640AF">
            <w:pPr>
              <w:rPr>
                <w:b/>
                <w:i/>
              </w:rPr>
            </w:pPr>
          </w:p>
          <w:p w14:paraId="60A73DAA" w14:textId="77777777" w:rsidR="00F640AF" w:rsidRDefault="00000000">
            <w:pPr>
              <w:rPr>
                <w:b/>
              </w:rPr>
            </w:pPr>
            <w:r>
              <w:t xml:space="preserve">Use figurative language in a range of writing </w:t>
            </w:r>
          </w:p>
          <w:p w14:paraId="0AF592DB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i/>
                <w:color w:val="000000"/>
                <w:sz w:val="20"/>
                <w:szCs w:val="20"/>
              </w:rPr>
            </w:pPr>
          </w:p>
          <w:p w14:paraId="0A0F84D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Brackets, dashes or commas to indicate parenthesis </w:t>
            </w:r>
          </w:p>
          <w:p w14:paraId="10682F88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modal verbs or adverbs to indicate degrees of possibility </w:t>
            </w:r>
          </w:p>
          <w:p w14:paraId="07F43ED0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</w:tcPr>
          <w:p w14:paraId="401A7333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51C249DC" w14:textId="77777777" w:rsidR="00F640AF" w:rsidRDefault="00000000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Grammar and punctuation:</w:t>
            </w:r>
          </w:p>
          <w:p w14:paraId="25987110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64363B1E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Relative clauses beginning with who, which, where, when, whose, that, or an omitted relative pronoun </w:t>
            </w:r>
          </w:p>
          <w:p w14:paraId="0F86D29B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Indicating degrees of possibility using adverbs [for example, perhaps, surely] or modal verbs [for example, might, should, will, must] </w:t>
            </w:r>
          </w:p>
          <w:p w14:paraId="424A3C94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Linking ideas across paragraphs using adverbials of time [for example, later], place [for example, nearby] and number [for example, secondly] or tense choices [for example, he had seen her before] </w:t>
            </w:r>
          </w:p>
          <w:p w14:paraId="3502E36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Brackets, dashes or commas to indicate parenthesis </w:t>
            </w:r>
          </w:p>
          <w:p w14:paraId="4ADB37B1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commas to clarify meaning or avoid ambiguity </w:t>
            </w:r>
          </w:p>
          <w:p w14:paraId="56F46780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expanded noun phrases to convey complicated information concisely </w:t>
            </w:r>
          </w:p>
          <w:p w14:paraId="79339068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Devices to build cohesion within a paragraph [for </w:t>
            </w:r>
            <w:r>
              <w:rPr>
                <w:color w:val="000000"/>
              </w:rPr>
              <w:lastRenderedPageBreak/>
              <w:t xml:space="preserve">example, then, after that, this, firstly] </w:t>
            </w:r>
          </w:p>
          <w:p w14:paraId="4A37F01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How words are related by meaning as synonyms and antonyms [for example, big, large, little] (Y6) </w:t>
            </w:r>
          </w:p>
          <w:p w14:paraId="5F02D4E8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The difference between structures typical of informal speech and structures appropriate for formal speech and writing [for example the use of subjunctive forms such as If I were or Were they to come in some very formal writing and speech] (Y6) </w:t>
            </w:r>
          </w:p>
          <w:p w14:paraId="0AAEC2B8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6D70B8AD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1869A8A8" w14:textId="77777777" w:rsidR="00F640AF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Writing (Composition)</w:t>
            </w:r>
            <w:r>
              <w:rPr>
                <w:sz w:val="21"/>
                <w:szCs w:val="21"/>
              </w:rPr>
              <w:t xml:space="preserve"> </w:t>
            </w:r>
          </w:p>
          <w:p w14:paraId="2877E66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In writing narratives, considering how authors have developed characters and settings in what pupils have read, listened to or seen performed </w:t>
            </w:r>
          </w:p>
          <w:p w14:paraId="1ACF1886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>In narratives, describing settings, characters and atmosphere and integrating dialogue to convey character and advance the action</w:t>
            </w:r>
          </w:p>
          <w:p w14:paraId="15EC8002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2CF79077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306DE080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  <w:tc>
          <w:tcPr>
            <w:tcW w:w="2629" w:type="dxa"/>
          </w:tcPr>
          <w:p w14:paraId="024A5BFB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79B7589D" w14:textId="77777777" w:rsidR="00F640AF" w:rsidRDefault="00000000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Grammar and punctuation:</w:t>
            </w:r>
          </w:p>
          <w:p w14:paraId="09CF743B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76AAA2EB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inverted commas and other punctuation to indicate direct speech </w:t>
            </w:r>
          </w:p>
          <w:p w14:paraId="0B390703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Recognising vocabulary and structures that are appropriate for formal speech and writing, including subjunctive forms </w:t>
            </w:r>
          </w:p>
          <w:p w14:paraId="25CEB876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modal verbs or adverbs to indicate degrees of possibility </w:t>
            </w:r>
          </w:p>
          <w:p w14:paraId="06874D74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Linking ideas across paragraphs using adverbials of time [for example, later] </w:t>
            </w:r>
          </w:p>
          <w:p w14:paraId="0FB312A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The difference between vocabulary typical of informal speech and vocabulary appropriate for formal speech and writing [for example, find out – discover; ask for – request; go in – enter] </w:t>
            </w:r>
          </w:p>
          <w:p w14:paraId="63DFCE16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The difference between structures typical of informal speech and structures appropriate for formal speech and writing [for example, the use of question tags: He’s your friend, isn’t he?] </w:t>
            </w:r>
          </w:p>
          <w:p w14:paraId="1BF20307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Linking ideas across paragraphs using a wider range of cohesive devices: repetition of a word or phrase, grammatical connections [for example, the use of adverbials such as on the other hand, in contrast, or as a consequence], and ellipsis </w:t>
            </w:r>
          </w:p>
          <w:p w14:paraId="2E6ADFA3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Layout devices [for example, headings, sub-headings, columns, bullets, or tables, to structure text] </w:t>
            </w:r>
          </w:p>
          <w:p w14:paraId="55123D9D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the colon to introduce a list and use of semi-colons within lists </w:t>
            </w:r>
          </w:p>
          <w:p w14:paraId="37D2A23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the passive to affect the presentation of information in a sentence [for example, I broke the window in the greenhouse versus The window in the greenhouse was broken (by me)] </w:t>
            </w:r>
          </w:p>
          <w:p w14:paraId="26A65E05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0BEEBB6F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71A98CE3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4FE70490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57719C37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3C82BEE0" w14:textId="77777777" w:rsidR="00F640AF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Writing (Composition)</w:t>
            </w:r>
            <w:r>
              <w:rPr>
                <w:sz w:val="21"/>
                <w:szCs w:val="21"/>
              </w:rPr>
              <w:t xml:space="preserve"> </w:t>
            </w:r>
          </w:p>
          <w:p w14:paraId="214A6EE5" w14:textId="77777777" w:rsidR="005E76BD" w:rsidRDefault="005E7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i/>
                <w:sz w:val="20"/>
                <w:szCs w:val="20"/>
              </w:rPr>
            </w:pPr>
          </w:p>
          <w:p w14:paraId="21450398" w14:textId="77777777" w:rsidR="005E76BD" w:rsidRDefault="005E76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i/>
                <w:sz w:val="20"/>
                <w:szCs w:val="20"/>
              </w:rPr>
            </w:pPr>
          </w:p>
          <w:p w14:paraId="12207166" w14:textId="3F8D0D53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further organisational and </w:t>
            </w:r>
            <w:r>
              <w:rPr>
                <w:color w:val="000000"/>
              </w:rPr>
              <w:lastRenderedPageBreak/>
              <w:t xml:space="preserve">presentational devices to structure text and to guide the reader [for example, headings, bullet points, underlining] </w:t>
            </w:r>
          </w:p>
          <w:p w14:paraId="01AB04AA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  <w:tc>
          <w:tcPr>
            <w:tcW w:w="2629" w:type="dxa"/>
          </w:tcPr>
          <w:p w14:paraId="18DEA07D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2FBF8DC4" w14:textId="77777777" w:rsidR="00F640AF" w:rsidRDefault="00000000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Grammar and punctuation:</w:t>
            </w:r>
          </w:p>
          <w:p w14:paraId="62AE6514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5768980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inverted commas and other punctuation to indicate direct speech </w:t>
            </w:r>
          </w:p>
          <w:p w14:paraId="629DA76D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the present perfect and progressive forms of verbs instead of the simple past [for example, He has gone out to play contrasted with He went out to play] </w:t>
            </w:r>
          </w:p>
          <w:p w14:paraId="552CDABC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Verb prefixes [for example, dis–, de–, mis–, over– and re–] </w:t>
            </w:r>
          </w:p>
          <w:p w14:paraId="34D04BD8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Relative clauses beginning with who, which, where, when, whose, that, or an omitted relative pronoun </w:t>
            </w:r>
          </w:p>
          <w:p w14:paraId="35FA6660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Indicating degrees of possibility using adverbs [for example, perhaps, surely] or modal verbs [for example, might, should, will, must] </w:t>
            </w:r>
          </w:p>
          <w:p w14:paraId="6236409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Brackets, dashes or commas to indicate parenthesis </w:t>
            </w:r>
          </w:p>
          <w:p w14:paraId="5659119C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the passive to affect the presentation of information in a sentence [for example, I broke the window in the greenhouse versus The window in the </w:t>
            </w:r>
            <w:r>
              <w:rPr>
                <w:color w:val="000000"/>
              </w:rPr>
              <w:lastRenderedPageBreak/>
              <w:t xml:space="preserve">greenhouse was broken (by me)] </w:t>
            </w:r>
          </w:p>
          <w:p w14:paraId="32057A52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The difference between structures typical of informal speech and structures appropriate for formal speech and writing [for example, the use of question tags: He’s your friend, isn’t he?, or the use of subjunctive forms such as If I were or Were they to come in some very formal writing and speech] </w:t>
            </w:r>
          </w:p>
          <w:p w14:paraId="17325DCE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Layout devices [for example, headings, sub-headings, columns, bullets, or tables, to structure text] </w:t>
            </w:r>
          </w:p>
          <w:p w14:paraId="02455C4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Use of the semi-colon, colon and dash to mark the boundary between independent clauses [for example, It’s raining; I’m fed up] </w:t>
            </w:r>
          </w:p>
          <w:p w14:paraId="39F23C0E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5AD9D158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67E6CB3A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13DDA6F0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4C129E84" w14:textId="77777777" w:rsidR="005E76BD" w:rsidRDefault="005E76BD">
            <w:pPr>
              <w:rPr>
                <w:i/>
                <w:sz w:val="20"/>
                <w:szCs w:val="20"/>
              </w:rPr>
            </w:pPr>
          </w:p>
          <w:p w14:paraId="1CF6AF45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3EAEADCD" w14:textId="77777777" w:rsidR="00F640AF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Writing (Composition)</w:t>
            </w:r>
            <w:r>
              <w:rPr>
                <w:sz w:val="21"/>
                <w:szCs w:val="21"/>
              </w:rPr>
              <w:t xml:space="preserve"> </w:t>
            </w:r>
          </w:p>
          <w:p w14:paraId="4E4E731B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32A2A04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Ensuring correct subject and verb agreement when using singular and plural, distinguishing between </w:t>
            </w:r>
            <w:r>
              <w:rPr>
                <w:color w:val="000000"/>
              </w:rPr>
              <w:lastRenderedPageBreak/>
              <w:t xml:space="preserve">the language of speech and writing and choosing the appropriate register </w:t>
            </w:r>
          </w:p>
          <w:p w14:paraId="23EBE351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  <w:tc>
          <w:tcPr>
            <w:tcW w:w="2629" w:type="dxa"/>
          </w:tcPr>
          <w:p w14:paraId="2B7C6940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5EDE9962" w14:textId="77777777" w:rsidR="00F640AF" w:rsidRDefault="00000000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Grammar and punctuation:</w:t>
            </w:r>
          </w:p>
          <w:p w14:paraId="1CAF3C57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09AA9320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Recognising vocabulary and structures that are appropriate for formal speech and writing, including subjunctive forms </w:t>
            </w:r>
          </w:p>
          <w:p w14:paraId="6FDAEAF8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expanded noun phrases to convey complicated information concisely </w:t>
            </w:r>
          </w:p>
          <w:p w14:paraId="3C751CB6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modal verbs or adverbs to indicate degrees of possibility </w:t>
            </w:r>
          </w:p>
          <w:p w14:paraId="73DB4C41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relative clauses beginning with who, which, where, when, whose, that or with an implied (i.e. omitted) relative pronoun </w:t>
            </w:r>
          </w:p>
          <w:p w14:paraId="3F09472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commas to clarify meaning or avoid ambiguity in writing </w:t>
            </w:r>
          </w:p>
          <w:p w14:paraId="61FBB8F3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a colon to introduce a list </w:t>
            </w:r>
          </w:p>
          <w:p w14:paraId="10F31FF1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Punctuating bullet points consistently </w:t>
            </w:r>
          </w:p>
          <w:p w14:paraId="5A1D15F9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28E0DEDB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55D23287" w14:textId="77777777" w:rsidR="00F640AF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Writing (Composition)</w:t>
            </w:r>
            <w:r>
              <w:rPr>
                <w:sz w:val="21"/>
                <w:szCs w:val="21"/>
              </w:rPr>
              <w:t xml:space="preserve"> </w:t>
            </w:r>
          </w:p>
          <w:p w14:paraId="7BE93D01" w14:textId="77777777" w:rsidR="00F640AF" w:rsidRDefault="00F640AF">
            <w:pPr>
              <w:rPr>
                <w:sz w:val="21"/>
                <w:szCs w:val="21"/>
              </w:rPr>
            </w:pPr>
          </w:p>
          <w:p w14:paraId="3DD65902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</w:rPr>
              <w:t xml:space="preserve">Using further organisational and </w:t>
            </w:r>
            <w:r>
              <w:rPr>
                <w:color w:val="000000"/>
              </w:rPr>
              <w:lastRenderedPageBreak/>
              <w:t xml:space="preserve">presentational devices to structure text and to guide the reader [for example, headings, bullet points, underlining] </w:t>
            </w:r>
          </w:p>
          <w:p w14:paraId="63216F20" w14:textId="77777777" w:rsidR="00F640AF" w:rsidRDefault="00F640AF">
            <w:pPr>
              <w:rPr>
                <w:sz w:val="21"/>
                <w:szCs w:val="21"/>
              </w:rPr>
            </w:pPr>
          </w:p>
          <w:p w14:paraId="14B110D2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  <w:tc>
          <w:tcPr>
            <w:tcW w:w="2629" w:type="dxa"/>
          </w:tcPr>
          <w:p w14:paraId="67DEF4DF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6F64EBC5" w14:textId="77777777" w:rsidR="00F640AF" w:rsidRDefault="00000000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Grammar and punctuation:</w:t>
            </w:r>
          </w:p>
          <w:p w14:paraId="0DB5DFD4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155873D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 xml:space="preserve">Indicating degrees of possibility using adverbs [for example, perhaps, surely] or modal verbs [for example, might, should, will, must] </w:t>
            </w:r>
          </w:p>
          <w:p w14:paraId="7D612FA2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 xml:space="preserve">Devices to build cohesion within a paragraph [for example, then, after that, this, firstly] </w:t>
            </w:r>
          </w:p>
          <w:p w14:paraId="146D57F5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 xml:space="preserve">Linking ideas across paragraphs using adverbials of time [for example, later], place [for example, nearby] and number [for example, secondly] or tense choices [for example, he had seen her before] </w:t>
            </w:r>
          </w:p>
          <w:p w14:paraId="41D42074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 xml:space="preserve">How words are related by meaning as synonyms and antonyms </w:t>
            </w:r>
          </w:p>
          <w:p w14:paraId="01EDE2CD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t xml:space="preserve">The difference between structures typical of informal speech and structures appropriate for formal speech and writing [for example, the use of question tags: He’s your friend, isn’t he?, or the use of subjunctive forms such as If I were or Were they to come in some very formal writing and speech] </w:t>
            </w:r>
          </w:p>
          <w:p w14:paraId="1E229217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2F4B3801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73B038F4" w14:textId="77777777" w:rsidR="00F640AF" w:rsidRDefault="00000000">
            <w:pPr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Writing (Composition)</w:t>
            </w:r>
            <w:r>
              <w:rPr>
                <w:sz w:val="21"/>
                <w:szCs w:val="21"/>
              </w:rPr>
              <w:t xml:space="preserve"> </w:t>
            </w:r>
          </w:p>
          <w:p w14:paraId="4A85EA7E" w14:textId="77777777" w:rsidR="00F640AF" w:rsidRDefault="00F640AF">
            <w:pPr>
              <w:rPr>
                <w:i/>
                <w:sz w:val="20"/>
                <w:szCs w:val="20"/>
              </w:rPr>
            </w:pPr>
          </w:p>
          <w:p w14:paraId="0E81B560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In narratives, describing settings, characters and atmosphere and integrating dialogue to convey character and advance the action </w:t>
            </w:r>
          </w:p>
          <w:p w14:paraId="2117CFEF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</w:tr>
      <w:tr w:rsidR="00F640AF" w14:paraId="3252C8BD" w14:textId="77777777">
        <w:trPr>
          <w:trHeight w:val="1504"/>
        </w:trPr>
        <w:tc>
          <w:tcPr>
            <w:tcW w:w="15773" w:type="dxa"/>
            <w:gridSpan w:val="6"/>
          </w:tcPr>
          <w:p w14:paraId="3475215D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Ongoing statements:</w:t>
            </w:r>
          </w:p>
          <w:p w14:paraId="347D0BA5" w14:textId="77777777" w:rsidR="00F640AF" w:rsidRPr="00D66148" w:rsidRDefault="00000000">
            <w:pPr>
              <w:rPr>
                <w:sz w:val="16"/>
                <w:szCs w:val="16"/>
              </w:rPr>
            </w:pPr>
            <w:r w:rsidRPr="00D66148">
              <w:rPr>
                <w:sz w:val="16"/>
                <w:szCs w:val="16"/>
              </w:rPr>
              <w:t xml:space="preserve">Writing Transcription (Spelling and Handwriting) </w:t>
            </w:r>
          </w:p>
          <w:p w14:paraId="3C348B96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Use further prefixes and suffixes and understand the guidance for adding them</w:t>
            </w:r>
          </w:p>
          <w:p w14:paraId="46DBE0BE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Use knowledge of morphology and etymology in spelling and understand that the spelling of some words needs to be learnt specifically, as listed in English Appendix 1</w:t>
            </w:r>
          </w:p>
          <w:p w14:paraId="7C49BE66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Use dictionaries to check the spelling and meaning of words</w:t>
            </w:r>
          </w:p>
          <w:p w14:paraId="341A460B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Use the first three or four letters of a word to check spelling, meaning or both of these in a dictionary</w:t>
            </w:r>
          </w:p>
          <w:p w14:paraId="1B69A125" w14:textId="32FFAE27" w:rsidR="00F640AF" w:rsidRPr="00D66148" w:rsidRDefault="00000000" w:rsidP="00D6614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Use a thesaurus</w:t>
            </w:r>
          </w:p>
          <w:p w14:paraId="3E57CF19" w14:textId="77777777" w:rsidR="00F640AF" w:rsidRPr="00D66148" w:rsidRDefault="00000000">
            <w:pPr>
              <w:rPr>
                <w:sz w:val="16"/>
                <w:szCs w:val="16"/>
              </w:rPr>
            </w:pPr>
            <w:r w:rsidRPr="00D66148">
              <w:rPr>
                <w:sz w:val="16"/>
                <w:szCs w:val="16"/>
              </w:rPr>
              <w:t>Writing Composition</w:t>
            </w:r>
          </w:p>
          <w:p w14:paraId="49B0D6EF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Ensure the consistent and correct use of tense throughout a piece of writing</w:t>
            </w:r>
          </w:p>
          <w:p w14:paraId="20327B66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 xml:space="preserve">Use a wide range of devices to build cohesion within and across paragraphs </w:t>
            </w:r>
          </w:p>
          <w:p w14:paraId="4BB4B319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Plan their writing by: - Identifying the audience for and purpose of the writing, selecting the appropriate form and using other similar writing as models for their own</w:t>
            </w:r>
          </w:p>
          <w:p w14:paraId="6E47A504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Draft and write by: - Selecting appropriate grammar and vocabulary, understanding how such choices can change and enhance meaning</w:t>
            </w:r>
          </w:p>
          <w:p w14:paraId="4D92699D" w14:textId="77777777" w:rsidR="00F640AF" w:rsidRPr="00D6614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  <w:r w:rsidRPr="00D66148">
              <w:rPr>
                <w:color w:val="000000"/>
                <w:sz w:val="16"/>
                <w:szCs w:val="16"/>
              </w:rPr>
              <w:t>Evaluate and edit by: - Assessing the effectiveness of their own and others’ writing - Proposing changes to vocabulary, grammar and punctuation to enhance effects and clarify meaning - Proof-reading for spelling and punctuation errors</w:t>
            </w:r>
          </w:p>
          <w:p w14:paraId="04EA79E4" w14:textId="680324F3" w:rsidR="00EC447D" w:rsidRPr="00D66148" w:rsidRDefault="00000000" w:rsidP="00EC447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1"/>
                <w:szCs w:val="21"/>
              </w:rPr>
            </w:pPr>
            <w:r w:rsidRPr="00D66148">
              <w:rPr>
                <w:color w:val="000000"/>
                <w:sz w:val="16"/>
                <w:szCs w:val="16"/>
              </w:rPr>
              <w:t>Précising longer passages</w:t>
            </w:r>
          </w:p>
        </w:tc>
      </w:tr>
      <w:tr w:rsidR="00F640AF" w14:paraId="5A9AA6D9" w14:textId="77777777">
        <w:trPr>
          <w:trHeight w:val="248"/>
        </w:trPr>
        <w:tc>
          <w:tcPr>
            <w:tcW w:w="2628" w:type="dxa"/>
            <w:shd w:val="clear" w:color="auto" w:fill="92D050"/>
          </w:tcPr>
          <w:p w14:paraId="2CEBDB3F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Guided Reading</w:t>
            </w:r>
          </w:p>
        </w:tc>
        <w:tc>
          <w:tcPr>
            <w:tcW w:w="2629" w:type="dxa"/>
            <w:shd w:val="clear" w:color="auto" w:fill="92D050"/>
          </w:tcPr>
          <w:p w14:paraId="6F46B888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Guided Reading</w:t>
            </w:r>
          </w:p>
        </w:tc>
        <w:tc>
          <w:tcPr>
            <w:tcW w:w="2629" w:type="dxa"/>
            <w:shd w:val="clear" w:color="auto" w:fill="92D050"/>
          </w:tcPr>
          <w:p w14:paraId="07221F8A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Guided Reading</w:t>
            </w:r>
          </w:p>
        </w:tc>
        <w:tc>
          <w:tcPr>
            <w:tcW w:w="2629" w:type="dxa"/>
            <w:shd w:val="clear" w:color="auto" w:fill="92D050"/>
          </w:tcPr>
          <w:p w14:paraId="4320946D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Guided Reading</w:t>
            </w:r>
          </w:p>
        </w:tc>
        <w:tc>
          <w:tcPr>
            <w:tcW w:w="2629" w:type="dxa"/>
            <w:shd w:val="clear" w:color="auto" w:fill="92D050"/>
          </w:tcPr>
          <w:p w14:paraId="53EAE247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Guided Reading</w:t>
            </w:r>
          </w:p>
        </w:tc>
        <w:tc>
          <w:tcPr>
            <w:tcW w:w="2629" w:type="dxa"/>
            <w:shd w:val="clear" w:color="auto" w:fill="92D050"/>
          </w:tcPr>
          <w:p w14:paraId="74F79EF9" w14:textId="77777777" w:rsidR="00F640AF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Guided Reading</w:t>
            </w:r>
          </w:p>
        </w:tc>
      </w:tr>
      <w:tr w:rsidR="00F640AF" w14:paraId="00EB3172" w14:textId="77777777">
        <w:trPr>
          <w:trHeight w:val="1504"/>
        </w:trPr>
        <w:tc>
          <w:tcPr>
            <w:tcW w:w="2628" w:type="dxa"/>
          </w:tcPr>
          <w:p w14:paraId="79FFBE5A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Incredible Journeys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2574B111" wp14:editId="08B9A05D">
                  <wp:simplePos x="0" y="0"/>
                  <wp:positionH relativeFrom="column">
                    <wp:posOffset>217804</wp:posOffset>
                  </wp:positionH>
                  <wp:positionV relativeFrom="paragraph">
                    <wp:posOffset>302260</wp:posOffset>
                  </wp:positionV>
                  <wp:extent cx="1143000" cy="1437640"/>
                  <wp:effectExtent l="0" t="0" r="0" b="0"/>
                  <wp:wrapSquare wrapText="bothSides" distT="0" distB="0" distL="114300" distR="114300"/>
                  <wp:docPr id="982918729" name="image5.jpg" descr="Incredible Journeys: Discovery, Adventure, Danger, Endurance: Amazon.co.uk:  Wood, Levison, Brewster;Sam, Brewster;Sam: 9781526360434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Incredible Journeys: Discovery, Adventure, Danger, Endurance: Amazon.co.uk:  Wood, Levison, Brewster;Sam, Brewster;Sam: 9781526360434: Books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437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33675A2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3B4BBA45" w14:textId="77777777" w:rsidR="00F640AF" w:rsidRDefault="00F640AF"/>
          <w:p w14:paraId="6335AA8D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9" w:type="dxa"/>
          </w:tcPr>
          <w:p w14:paraId="1CDCD9FD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Text: Sir Gawain and the Green Knight</w:t>
            </w:r>
          </w:p>
          <w:p w14:paraId="5FA36E90" w14:textId="77777777" w:rsidR="00F640AF" w:rsidRDefault="00000000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5449B254" wp14:editId="2A4B103E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129539</wp:posOffset>
                  </wp:positionV>
                  <wp:extent cx="902970" cy="1397000"/>
                  <wp:effectExtent l="0" t="0" r="0" b="0"/>
                  <wp:wrapSquare wrapText="bothSides" distT="0" distB="0" distL="114300" distR="114300"/>
                  <wp:docPr id="982918730" name="image3.jpg" descr="Sir Gawain and the Green Knight : Morpurgo, Sir Michael, Foreman, Michael:  Amazon.co.uk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Sir Gawain and the Green Knight : Morpurgo, Sir Michael, Foreman, Michael:  Amazon.co.uk: Books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397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BD5783C" w14:textId="77777777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9" w:type="dxa"/>
          </w:tcPr>
          <w:p w14:paraId="3B088952" w14:textId="797B2FF3" w:rsidR="00F640AF" w:rsidRDefault="00000000" w:rsidP="00EC44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Text: </w:t>
            </w:r>
            <w:r w:rsidR="00EC447D">
              <w:rPr>
                <w:b/>
                <w:sz w:val="20"/>
                <w:szCs w:val="20"/>
              </w:rPr>
              <w:t>Black and British</w:t>
            </w:r>
          </w:p>
          <w:p w14:paraId="5188DEE3" w14:textId="449D5D10" w:rsidR="00F640AF" w:rsidRDefault="00EC447D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032AE6E3" wp14:editId="65CA1A05">
                  <wp:simplePos x="0" y="0"/>
                  <wp:positionH relativeFrom="column">
                    <wp:posOffset>264367</wp:posOffset>
                  </wp:positionH>
                  <wp:positionV relativeFrom="paragraph">
                    <wp:posOffset>256540</wp:posOffset>
                  </wp:positionV>
                  <wp:extent cx="935990" cy="1419225"/>
                  <wp:effectExtent l="0" t="0" r="0" b="0"/>
                  <wp:wrapSquare wrapText="bothSides" distT="0" distB="0" distL="114300" distR="114300"/>
                  <wp:docPr id="982918725" name="image9.jpg" descr="Black and British: A short, essential history: Amazon.co.uk: Olusoga,  David: 9781529063394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Black and British: A short, essential history: Amazon.co.uk: Olusoga,  David: 9781529063394: Books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90" cy="1419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ADB8AFA" w14:textId="4D8F5C30" w:rsidR="00F640AF" w:rsidRDefault="00F640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9" w:type="dxa"/>
          </w:tcPr>
          <w:p w14:paraId="236F4A80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Politics for Beginners</w:t>
            </w:r>
          </w:p>
          <w:p w14:paraId="7F89D462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65A5A32B" w14:textId="77777777" w:rsidR="00F640AF" w:rsidRDefault="00000000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15FE8C02" wp14:editId="614DDD2D">
                  <wp:simplePos x="0" y="0"/>
                  <wp:positionH relativeFrom="column">
                    <wp:posOffset>208914</wp:posOffset>
                  </wp:positionH>
                  <wp:positionV relativeFrom="paragraph">
                    <wp:posOffset>108585</wp:posOffset>
                  </wp:positionV>
                  <wp:extent cx="998855" cy="1414145"/>
                  <wp:effectExtent l="0" t="0" r="0" b="0"/>
                  <wp:wrapSquare wrapText="bothSides" distT="0" distB="0" distL="114300" distR="114300"/>
                  <wp:docPr id="982918726" name="image11.jpg" descr="Politics for Beginners: 1 : Louie Stowell, Alex Frith, Rosie Hore, Kellan  Stover, Kellan Stover: Amazon.co.uk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Politics for Beginners: 1 : Louie Stowell, Alex Frith, Rosie Hore, Kellan  Stover, Kellan Stover: Amazon.co.uk: Books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55" cy="141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E71944C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9" w:type="dxa"/>
          </w:tcPr>
          <w:p w14:paraId="0652DBC3" w14:textId="1A81612C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Text: </w:t>
            </w:r>
            <w:r w:rsidR="00D66148">
              <w:rPr>
                <w:b/>
                <w:sz w:val="20"/>
                <w:szCs w:val="20"/>
              </w:rPr>
              <w:t>The Highwayman</w:t>
            </w:r>
          </w:p>
          <w:p w14:paraId="33C58B80" w14:textId="6ED83BE0" w:rsidR="00F640AF" w:rsidRDefault="00F640AF">
            <w:pPr>
              <w:jc w:val="center"/>
              <w:rPr>
                <w:sz w:val="20"/>
                <w:szCs w:val="20"/>
              </w:rPr>
            </w:pPr>
          </w:p>
          <w:p w14:paraId="3C85882A" w14:textId="231ECE4D" w:rsidR="00F640AF" w:rsidRDefault="00F640AF">
            <w:pPr>
              <w:rPr>
                <w:noProof/>
              </w:rPr>
            </w:pPr>
          </w:p>
          <w:p w14:paraId="14A3B660" w14:textId="77777777" w:rsidR="00D66148" w:rsidRDefault="00D66148">
            <w:pPr>
              <w:rPr>
                <w:noProof/>
              </w:rPr>
            </w:pPr>
          </w:p>
          <w:p w14:paraId="0767E496" w14:textId="25AE16CD" w:rsidR="00D66148" w:rsidRDefault="00D66148">
            <w:r>
              <w:rPr>
                <w:noProof/>
              </w:rPr>
              <w:drawing>
                <wp:inline distT="0" distB="0" distL="0" distR="0" wp14:anchorId="7F09D7F2" wp14:editId="70799C04">
                  <wp:extent cx="1085850" cy="1564200"/>
                  <wp:effectExtent l="0" t="0" r="0" b="0"/>
                  <wp:docPr id="1840159827" name="Picture 1" descr="The Highwayman Origins Found? : r/overthegardenw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Highwayman Origins Found? : r/overthegardenw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580" cy="1565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C584DA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9" w:type="dxa"/>
          </w:tcPr>
          <w:p w14:paraId="598697FA" w14:textId="77777777" w:rsidR="00F640A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Text: Letters from the Lighthouse</w:t>
            </w:r>
          </w:p>
          <w:p w14:paraId="1B814A88" w14:textId="77777777" w:rsidR="00F640AF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2A773B41" wp14:editId="3B2907F4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168910</wp:posOffset>
                  </wp:positionV>
                  <wp:extent cx="906780" cy="1393190"/>
                  <wp:effectExtent l="0" t="0" r="0" b="0"/>
                  <wp:wrapSquare wrapText="bothSides" distT="0" distB="0" distL="114300" distR="114300"/>
                  <wp:docPr id="982918722" name="image8.jpg" descr="Letters from the Lighthouse by Emma Carroll | Waterston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Letters from the Lighthouse by Emma Carroll | Waterstones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1393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A150EC9" w14:textId="77777777" w:rsidR="00F640AF" w:rsidRDefault="00F640AF"/>
          <w:p w14:paraId="24E50485" w14:textId="77777777" w:rsidR="00F640AF" w:rsidRDefault="00F640AF">
            <w:pPr>
              <w:jc w:val="center"/>
              <w:rPr>
                <w:sz w:val="20"/>
                <w:szCs w:val="20"/>
              </w:rPr>
            </w:pPr>
          </w:p>
        </w:tc>
      </w:tr>
      <w:tr w:rsidR="00F640AF" w14:paraId="3425487E" w14:textId="77777777">
        <w:trPr>
          <w:trHeight w:val="1504"/>
        </w:trPr>
        <w:tc>
          <w:tcPr>
            <w:tcW w:w="2628" w:type="dxa"/>
          </w:tcPr>
          <w:p w14:paraId="3F1BE6D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summarising the main ideas drawn from more than one paragraph, identifying key details that support the main ideas </w:t>
            </w:r>
          </w:p>
          <w:p w14:paraId="2C7401CD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identifying how language, structure and presentation contribute to meaning </w:t>
            </w:r>
          </w:p>
          <w:p w14:paraId="7975EFAF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discuss and evaluate how author’s use language, including figurative language, considering the impact on the reader </w:t>
            </w:r>
          </w:p>
          <w:p w14:paraId="3C790117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distinguish between statements of fact and opinion </w:t>
            </w:r>
          </w:p>
          <w:p w14:paraId="092B9438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retrieve, record and present information from non-fiction </w:t>
            </w:r>
          </w:p>
          <w:p w14:paraId="67E1D90C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</w:tcPr>
          <w:p w14:paraId="5E507DBF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drawing inferences such as inferring characters’ feelings, thoughts and motives from their actions, and justifying inferences with evidence </w:t>
            </w:r>
          </w:p>
          <w:p w14:paraId="50F4E0CD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predicting what might happen from details stated and implied </w:t>
            </w:r>
          </w:p>
          <w:p w14:paraId="6D2B227D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identifying how language, structure and presentation contribute to meaning </w:t>
            </w:r>
          </w:p>
          <w:p w14:paraId="440BE559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</w:tcPr>
          <w:p w14:paraId="5AD3C41C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1"/>
                <w:szCs w:val="21"/>
              </w:rPr>
            </w:pPr>
            <w:r>
              <w:rPr>
                <w:color w:val="0A0A0A"/>
                <w:sz w:val="20"/>
                <w:szCs w:val="20"/>
              </w:rPr>
              <w:t xml:space="preserve">summarising the main ideas drawn from more than 1 paragraph, identifying key details that support the main ideas </w:t>
            </w:r>
          </w:p>
          <w:p w14:paraId="091750E0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1"/>
                <w:szCs w:val="21"/>
              </w:rPr>
            </w:pPr>
            <w:r>
              <w:rPr>
                <w:color w:val="0A0A0A"/>
                <w:sz w:val="20"/>
                <w:szCs w:val="20"/>
              </w:rPr>
              <w:t xml:space="preserve">identifying how language, structure and presentation contribute to meaning </w:t>
            </w:r>
          </w:p>
          <w:p w14:paraId="5E8647A9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1"/>
                <w:szCs w:val="21"/>
              </w:rPr>
            </w:pPr>
            <w:r>
              <w:rPr>
                <w:color w:val="0A0A0A"/>
                <w:sz w:val="20"/>
                <w:szCs w:val="20"/>
              </w:rPr>
              <w:t xml:space="preserve">discuss and evaluate how author’s use language, including figurative language, considering the impact on the reader </w:t>
            </w:r>
          </w:p>
          <w:p w14:paraId="607817A0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1"/>
                <w:szCs w:val="21"/>
              </w:rPr>
            </w:pPr>
            <w:r>
              <w:rPr>
                <w:color w:val="0A0A0A"/>
                <w:sz w:val="20"/>
                <w:szCs w:val="20"/>
              </w:rPr>
              <w:t xml:space="preserve">retrieve, record and present information from non-fiction </w:t>
            </w:r>
          </w:p>
          <w:p w14:paraId="7A2F5147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1"/>
                <w:szCs w:val="21"/>
              </w:rPr>
            </w:pPr>
            <w:r>
              <w:rPr>
                <w:color w:val="0A0A0A"/>
                <w:sz w:val="20"/>
                <w:szCs w:val="20"/>
              </w:rPr>
              <w:t xml:space="preserve"> </w:t>
            </w:r>
          </w:p>
          <w:p w14:paraId="044E102D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  <w:tc>
          <w:tcPr>
            <w:tcW w:w="2629" w:type="dxa"/>
          </w:tcPr>
          <w:p w14:paraId="3AE0565A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summarising the main ideas drawn from more than 1 paragraph, identifying key details that support the main ideas </w:t>
            </w:r>
          </w:p>
          <w:p w14:paraId="4B5D86D2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identifying how language, structure and presentation contribute to meaning </w:t>
            </w:r>
          </w:p>
          <w:p w14:paraId="5E0A151B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discuss and evaluate how author’s use language, including figurative language, considering the impact on the reader </w:t>
            </w:r>
          </w:p>
          <w:p w14:paraId="43D89F73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A0A0A"/>
                <w:sz w:val="20"/>
                <w:szCs w:val="20"/>
              </w:rPr>
            </w:pPr>
            <w:r>
              <w:rPr>
                <w:color w:val="0A0A0A"/>
                <w:sz w:val="20"/>
                <w:szCs w:val="20"/>
              </w:rPr>
              <w:t xml:space="preserve">retrieve, record and present information from non-fiction </w:t>
            </w:r>
          </w:p>
          <w:p w14:paraId="6869D52B" w14:textId="77777777" w:rsidR="00F640AF" w:rsidRDefault="00F640AF">
            <w:pPr>
              <w:rPr>
                <w:i/>
                <w:sz w:val="20"/>
                <w:szCs w:val="20"/>
              </w:rPr>
            </w:pPr>
          </w:p>
        </w:tc>
        <w:tc>
          <w:tcPr>
            <w:tcW w:w="2629" w:type="dxa"/>
          </w:tcPr>
          <w:p w14:paraId="3F23BD05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drawing inferences such as inferring characters’ feelings, thoughts and motives from their actions, and justifying inferences with evidence </w:t>
            </w:r>
          </w:p>
          <w:p w14:paraId="6BFD7D5B" w14:textId="24CF5C06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predicting what might happen from details stated and implied </w:t>
            </w:r>
          </w:p>
          <w:p w14:paraId="76BF06B7" w14:textId="77777777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identifying how language, structure and presentation contribute to meaning </w:t>
            </w:r>
          </w:p>
          <w:p w14:paraId="6930BF2F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</w:tcPr>
          <w:p w14:paraId="0E235388" w14:textId="7A414CB5" w:rsidR="00F640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drawing inferences such as inferring characters’ feelings, thoughts and motives from their actions, and justifying inferences with evidence</w:t>
            </w:r>
          </w:p>
          <w:p w14:paraId="0BD8DFCA" w14:textId="77777777" w:rsidR="00EC447D" w:rsidRDefault="00000000" w:rsidP="00EC4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predicting what might happen from details stated and implied</w:t>
            </w:r>
            <w:r>
              <w:rPr>
                <w:color w:val="000000"/>
                <w:sz w:val="20"/>
                <w:szCs w:val="20"/>
              </w:rPr>
              <w:br/>
            </w:r>
          </w:p>
          <w:p w14:paraId="27B6DF07" w14:textId="77777777" w:rsidR="00EC447D" w:rsidRDefault="00000000" w:rsidP="00EC4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identifying how language, structure and presentation contribute to meaning</w:t>
            </w:r>
          </w:p>
          <w:p w14:paraId="4AD04CF6" w14:textId="24A6A28E" w:rsidR="00F640AF" w:rsidRPr="00EC447D" w:rsidRDefault="00000000" w:rsidP="00EC44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/>
              <w:t>Discuss and evaluate how author’s use language, including figurative language, considering the impact on the reader</w:t>
            </w:r>
          </w:p>
        </w:tc>
      </w:tr>
      <w:tr w:rsidR="00F640AF" w14:paraId="0E19223F" w14:textId="77777777">
        <w:trPr>
          <w:trHeight w:val="1504"/>
        </w:trPr>
        <w:tc>
          <w:tcPr>
            <w:tcW w:w="15773" w:type="dxa"/>
            <w:gridSpan w:val="6"/>
          </w:tcPr>
          <w:p w14:paraId="155AEACF" w14:textId="77777777" w:rsidR="00F640AF" w:rsidRDefault="00000000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Ongoing statements</w:t>
            </w:r>
          </w:p>
          <w:p w14:paraId="5BEEC34A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357" w:right="122" w:hanging="357"/>
              <w:rPr>
                <w:i/>
                <w:color w:val="000000"/>
                <w:sz w:val="20"/>
                <w:szCs w:val="20"/>
              </w:rPr>
            </w:pPr>
          </w:p>
          <w:p w14:paraId="71C6E1A5" w14:textId="77777777" w:rsidR="00F640AF" w:rsidRDefault="00000000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Apply their growing knowledge of root words, prefixes and suffixes (morphology and etymology), as listed in </w:t>
            </w:r>
            <w:hyperlink r:id="rId19">
              <w:r w:rsidR="00F640AF">
                <w:rPr>
                  <w:color w:val="000000"/>
                  <w:sz w:val="21"/>
                  <w:szCs w:val="21"/>
                  <w:u w:val="single"/>
                </w:rPr>
                <w:t>English appendix 1</w:t>
              </w:r>
            </w:hyperlink>
            <w:r>
              <w:rPr>
                <w:color w:val="000000"/>
                <w:sz w:val="21"/>
                <w:szCs w:val="21"/>
              </w:rPr>
              <w:t>, both to read aloud and to understand the meaning of new words that they meet</w:t>
            </w:r>
          </w:p>
          <w:p w14:paraId="75CB6921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357" w:right="122" w:hanging="357"/>
              <w:rPr>
                <w:color w:val="000000"/>
                <w:sz w:val="21"/>
                <w:szCs w:val="21"/>
              </w:rPr>
            </w:pPr>
          </w:p>
          <w:p w14:paraId="178D104D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Checking that the book makes sense to them, discussing their understanding and exploring the meaning of words in context</w:t>
            </w:r>
          </w:p>
          <w:p w14:paraId="19B71073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1EFEC147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Asking questions to improve their understanding</w:t>
            </w:r>
          </w:p>
          <w:p w14:paraId="2E498ECB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56F7DEF5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Explain and discuss their understanding of what they have read, including through formal presentations and debates, maintaining a focus on the topic and using notes where necessary</w:t>
            </w:r>
          </w:p>
          <w:p w14:paraId="7E313557" w14:textId="77777777" w:rsidR="00F640AF" w:rsidRDefault="00F640AF">
            <w:pPr>
              <w:rPr>
                <w:sz w:val="21"/>
                <w:szCs w:val="21"/>
              </w:rPr>
            </w:pPr>
          </w:p>
          <w:p w14:paraId="40D850BA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Provide reasoned justifications for their views</w:t>
            </w:r>
          </w:p>
          <w:p w14:paraId="459DCECE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52138981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Continuing to read and discuss an increasingly wide range of fiction, poetry, plays, non-fiction and reference books or textbooks</w:t>
            </w:r>
          </w:p>
          <w:p w14:paraId="528EFD71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529DC140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lastRenderedPageBreak/>
              <w:t>Participate in discussions about books that are read to them and those they can read for themselves, building on their own and others’ ideas and challenging views courteously</w:t>
            </w:r>
          </w:p>
          <w:p w14:paraId="090B8EFE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1B79587A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  <w:highlight w:val="white"/>
              </w:rPr>
              <w:t>Increasing their familiarity with a wide range of books, including myths, legends and traditional stories, modern fiction, fiction from our literary heritage, and books from other cultures and traditions</w:t>
            </w:r>
          </w:p>
          <w:p w14:paraId="19440EA0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62F1BC7B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Identifying and discussing themes and conventions in and across a wide range of writing</w:t>
            </w:r>
          </w:p>
          <w:p w14:paraId="6ED8A8E7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08D4872E" w14:textId="77777777" w:rsidR="00F640AF" w:rsidRDefault="00000000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  <w:r>
              <w:rPr>
                <w:color w:val="0B0C0C"/>
                <w:sz w:val="21"/>
                <w:szCs w:val="21"/>
              </w:rPr>
              <w:t>Making comparisons within and across books</w:t>
            </w:r>
          </w:p>
          <w:p w14:paraId="5C529A7E" w14:textId="77777777" w:rsidR="00F640AF" w:rsidRDefault="00F640AF">
            <w:pPr>
              <w:shd w:val="clear" w:color="auto" w:fill="FFFFFF"/>
              <w:spacing w:after="75"/>
              <w:rPr>
                <w:color w:val="0B0C0C"/>
                <w:sz w:val="21"/>
                <w:szCs w:val="21"/>
              </w:rPr>
            </w:pPr>
          </w:p>
          <w:p w14:paraId="67FDC91C" w14:textId="77777777" w:rsidR="00F640AF" w:rsidRDefault="00F64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357" w:right="122" w:hanging="357"/>
              <w:rPr>
                <w:i/>
                <w:color w:val="000000"/>
                <w:sz w:val="20"/>
                <w:szCs w:val="20"/>
              </w:rPr>
            </w:pPr>
          </w:p>
        </w:tc>
      </w:tr>
    </w:tbl>
    <w:p w14:paraId="75439404" w14:textId="77777777" w:rsidR="00F640AF" w:rsidRDefault="00F640AF"/>
    <w:sectPr w:rsidR="00F640AF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CBC8AC-FAA8-4F5F-88D6-85A6F2BAF027}"/>
    <w:embedBold r:id="rId2" w:fontKey="{9D9D5417-436A-4A15-93B6-2EAADFC06BF2}"/>
    <w:embedItalic r:id="rId3" w:fontKey="{E447B938-B772-4BC8-9FD9-CCE6F6E004B8}"/>
    <w:embedBoldItalic r:id="rId4" w:fontKey="{F7333AD3-C596-452C-9E0B-F55D02311C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A7465D46-E698-49DE-B398-9964EF9CCC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B9714249-327D-4FC2-9375-8FB6A86E74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FC01AB1C-FE12-490B-A258-7EC4FC4393B9}"/>
    <w:embedItalic r:id="rId8" w:fontKey="{B800E5A6-0A86-4747-9DEF-BC750C4803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EC00876-F663-42B1-89B7-CB28DA6C15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716F7"/>
    <w:multiLevelType w:val="multilevel"/>
    <w:tmpl w:val="1B34FA8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B879D3"/>
    <w:multiLevelType w:val="multilevel"/>
    <w:tmpl w:val="A8C86D66"/>
    <w:lvl w:ilvl="0">
      <w:start w:val="1"/>
      <w:numFmt w:val="decimal"/>
      <w:pStyle w:val="bulletundernumber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83821775">
    <w:abstractNumId w:val="0"/>
  </w:num>
  <w:num w:numId="2" w16cid:durableId="914631398">
    <w:abstractNumId w:val="1"/>
  </w:num>
  <w:num w:numId="3" w16cid:durableId="5518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AF"/>
    <w:rsid w:val="00095282"/>
    <w:rsid w:val="004226E4"/>
    <w:rsid w:val="005E76BD"/>
    <w:rsid w:val="00D66148"/>
    <w:rsid w:val="00EC447D"/>
    <w:rsid w:val="00F6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C12C8"/>
  <w15:docId w15:val="{B75D4965-FF1D-43D3-850E-08BB5300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464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2693"/>
    <w:pPr>
      <w:ind w:left="720"/>
      <w:contextualSpacing/>
    </w:pPr>
  </w:style>
  <w:style w:type="paragraph" w:customStyle="1" w:styleId="bulletundernumbered">
    <w:name w:val="bullet (under numbered)"/>
    <w:rsid w:val="00A85E99"/>
    <w:pPr>
      <w:numPr>
        <w:numId w:val="2"/>
      </w:numPr>
      <w:spacing w:after="240" w:line="288" w:lineRule="auto"/>
    </w:pPr>
    <w:rPr>
      <w:rFonts w:ascii="Arial" w:eastAsia="Times New Roman" w:hAnsi="Arial" w:cs="Arial"/>
      <w:sz w:val="24"/>
      <w:szCs w:val="24"/>
    </w:rPr>
  </w:style>
  <w:style w:type="paragraph" w:customStyle="1" w:styleId="bulletundertext">
    <w:name w:val="bullet (under text)"/>
    <w:rsid w:val="00A85E99"/>
    <w:pPr>
      <w:tabs>
        <w:tab w:val="num" w:pos="720"/>
      </w:tabs>
      <w:spacing w:after="240" w:line="288" w:lineRule="auto"/>
      <w:ind w:left="720" w:hanging="720"/>
    </w:pPr>
    <w:rPr>
      <w:rFonts w:ascii="Arial" w:eastAsia="Times New Roman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F1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D625A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hyperlink" Target="https://www.gov.uk/government/uploads/system/uploads/attachment_data/file/239784/English_Appendix_1_-_Spelling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LRlMNMHNYRYCsU+uRL0h8HG0BA==">CgMxLjA4AHIhMUM2MnBYQ2tQUG90VDdldjBlSl9rWkFNbl9IYmY3WGFO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1877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HUser</dc:creator>
  <cp:lastModifiedBy>Laura Airey</cp:lastModifiedBy>
  <cp:revision>4</cp:revision>
  <dcterms:created xsi:type="dcterms:W3CDTF">2023-06-05T10:25:00Z</dcterms:created>
  <dcterms:modified xsi:type="dcterms:W3CDTF">2026-08-05T10:15:00Z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08c7c51e046bcb210b0c289a442686607ac48a006cb0ed9404bb01cc71958772</vt:lpwstr>
  </property>
</Properties>
</file>